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59" w:rsidRPr="001C0759" w:rsidRDefault="001C0759" w:rsidP="001C0759">
      <w:pPr>
        <w:jc w:val="center"/>
        <w:rPr>
          <w:rFonts w:ascii="Times New Roman" w:hAnsi="Times New Roman" w:cs="Times New Roman"/>
        </w:rPr>
      </w:pPr>
      <w:r w:rsidRPr="001C07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571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759">
        <w:rPr>
          <w:rFonts w:ascii="Times New Roman" w:hAnsi="Times New Roman" w:cs="Times New Roman"/>
        </w:rPr>
        <w:t xml:space="preserve"> </w:t>
      </w:r>
    </w:p>
    <w:p w:rsidR="001C0759" w:rsidRPr="001C0759" w:rsidRDefault="001C0759" w:rsidP="001C0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59">
        <w:rPr>
          <w:rFonts w:ascii="Times New Roman" w:hAnsi="Times New Roman" w:cs="Times New Roman"/>
          <w:b/>
          <w:sz w:val="28"/>
          <w:szCs w:val="28"/>
        </w:rPr>
        <w:t>ЛИСЯНСЬКА СЕЛИЩНА РАДА</w:t>
      </w:r>
    </w:p>
    <w:p w:rsidR="001C0759" w:rsidRPr="001C0759" w:rsidRDefault="001C0759" w:rsidP="001C0759">
      <w:pPr>
        <w:pStyle w:val="1"/>
        <w:jc w:val="center"/>
        <w:rPr>
          <w:b/>
          <w:szCs w:val="28"/>
        </w:rPr>
      </w:pPr>
      <w:r w:rsidRPr="001C0759">
        <w:rPr>
          <w:b/>
          <w:szCs w:val="28"/>
        </w:rPr>
        <w:t>РІШЕННЯ</w:t>
      </w:r>
    </w:p>
    <w:p w:rsidR="001C0759" w:rsidRPr="00CE0510" w:rsidRDefault="001C0759" w:rsidP="001C075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C0759" w:rsidRPr="001C0759" w:rsidRDefault="001C0759" w:rsidP="001C0759">
      <w:pPr>
        <w:rPr>
          <w:rFonts w:ascii="Times New Roman" w:hAnsi="Times New Roman" w:cs="Times New Roman"/>
          <w:sz w:val="28"/>
          <w:szCs w:val="28"/>
        </w:rPr>
      </w:pPr>
      <w:r w:rsidRPr="001C0759">
        <w:rPr>
          <w:rFonts w:ascii="Times New Roman" w:hAnsi="Times New Roman" w:cs="Times New Roman"/>
          <w:sz w:val="28"/>
          <w:szCs w:val="28"/>
        </w:rPr>
        <w:t xml:space="preserve">05.11.2021                                         </w:t>
      </w:r>
      <w:proofErr w:type="spellStart"/>
      <w:r w:rsidRPr="001C0759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1C0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759"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 w:rsidRPr="001C07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759">
        <w:rPr>
          <w:rFonts w:ascii="Times New Roman" w:hAnsi="Times New Roman" w:cs="Times New Roman"/>
          <w:sz w:val="28"/>
          <w:szCs w:val="28"/>
        </w:rPr>
        <w:t>№ 21-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C0759">
        <w:rPr>
          <w:rFonts w:ascii="Times New Roman" w:hAnsi="Times New Roman" w:cs="Times New Roman"/>
          <w:sz w:val="28"/>
          <w:szCs w:val="28"/>
        </w:rPr>
        <w:t>/VIIІ</w:t>
      </w:r>
    </w:p>
    <w:p w:rsidR="005A7B98" w:rsidRPr="001C0759" w:rsidRDefault="005A7B98" w:rsidP="00E7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E68" w:rsidRPr="006C0847" w:rsidRDefault="004D3DC6" w:rsidP="004D3DC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6C0847">
        <w:rPr>
          <w:rFonts w:ascii="Times New Roman" w:hAnsi="Times New Roman" w:cs="Times New Roman"/>
          <w:sz w:val="28"/>
          <w:lang w:val="uk-UA"/>
        </w:rPr>
        <w:t xml:space="preserve">Про </w:t>
      </w:r>
      <w:r w:rsidR="00410E68" w:rsidRPr="006C0847">
        <w:rPr>
          <w:rFonts w:ascii="Times New Roman" w:hAnsi="Times New Roman" w:cs="Times New Roman"/>
          <w:sz w:val="28"/>
          <w:lang w:val="uk-UA"/>
        </w:rPr>
        <w:t xml:space="preserve">звернення до Кабінету Міністрів </w:t>
      </w:r>
    </w:p>
    <w:p w:rsidR="00410E68" w:rsidRPr="006C0847" w:rsidRDefault="00410E68" w:rsidP="004D3DC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6C0847">
        <w:rPr>
          <w:rFonts w:ascii="Times New Roman" w:hAnsi="Times New Roman" w:cs="Times New Roman"/>
          <w:sz w:val="28"/>
          <w:lang w:val="uk-UA"/>
        </w:rPr>
        <w:t xml:space="preserve">України щодо забезпечення права дітей </w:t>
      </w:r>
    </w:p>
    <w:p w:rsidR="00410E68" w:rsidRPr="006C0847" w:rsidRDefault="00410E68" w:rsidP="004D3DC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6C0847">
        <w:rPr>
          <w:rFonts w:ascii="Times New Roman" w:hAnsi="Times New Roman" w:cs="Times New Roman"/>
          <w:sz w:val="28"/>
          <w:lang w:val="uk-UA"/>
        </w:rPr>
        <w:t xml:space="preserve">з особливими освітніми потребами на </w:t>
      </w:r>
    </w:p>
    <w:p w:rsidR="00410E68" w:rsidRPr="006C0847" w:rsidRDefault="00410E68" w:rsidP="004D3DC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6C0847">
        <w:rPr>
          <w:rFonts w:ascii="Times New Roman" w:hAnsi="Times New Roman" w:cs="Times New Roman"/>
          <w:sz w:val="28"/>
          <w:lang w:val="uk-UA"/>
        </w:rPr>
        <w:t xml:space="preserve">психолого-педагогічні та </w:t>
      </w:r>
      <w:proofErr w:type="spellStart"/>
      <w:r w:rsidRPr="006C0847">
        <w:rPr>
          <w:rFonts w:ascii="Times New Roman" w:hAnsi="Times New Roman" w:cs="Times New Roman"/>
          <w:sz w:val="28"/>
          <w:lang w:val="uk-UA"/>
        </w:rPr>
        <w:t>корекційно-розвиткові</w:t>
      </w:r>
      <w:proofErr w:type="spellEnd"/>
    </w:p>
    <w:p w:rsidR="00410E68" w:rsidRPr="006C0847" w:rsidRDefault="009E56E1" w:rsidP="004D3DC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послуги в інкл</w:t>
      </w:r>
      <w:r w:rsidR="00410E68" w:rsidRPr="006C0847">
        <w:rPr>
          <w:rFonts w:ascii="Times New Roman" w:hAnsi="Times New Roman" w:cs="Times New Roman"/>
          <w:sz w:val="28"/>
          <w:lang w:val="uk-UA"/>
        </w:rPr>
        <w:t>юзивно-ресурсних центрах</w:t>
      </w:r>
    </w:p>
    <w:p w:rsidR="005A7B98" w:rsidRPr="001C0759" w:rsidRDefault="005A7B9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6E8" w:rsidRPr="00B04374" w:rsidRDefault="008E2251" w:rsidP="00B04374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Відповідно до статей 26</w:t>
      </w:r>
      <w:r w:rsidR="00E76C00" w:rsidRPr="00E76C00">
        <w:rPr>
          <w:rFonts w:ascii="Times New Roman" w:hAnsi="Times New Roman" w:cs="Times New Roman"/>
          <w:sz w:val="28"/>
          <w:lang w:val="uk-UA"/>
        </w:rPr>
        <w:t xml:space="preserve">, 43, 59, </w:t>
      </w:r>
      <w:r w:rsidR="00717F1E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 в Україні»</w:t>
      </w:r>
      <w:r w:rsidR="008D32A1" w:rsidRPr="008D32A1">
        <w:rPr>
          <w:rFonts w:ascii="Times New Roman" w:hAnsi="Times New Roman" w:cs="Times New Roman"/>
          <w:sz w:val="28"/>
          <w:szCs w:val="28"/>
          <w:lang w:val="uk-UA"/>
        </w:rPr>
        <w:t xml:space="preserve">, статті 20 Закону України «Про освіту», постанови Кабінету Міністрів України №765 «Про внесення змін до деяких постанов Кабінету Міністрів України щодо організації навчання осіб з особливими освітніми потребами», постанови Кабінету Міністрів України від 12 липня 2017 року № 545 року </w:t>
      </w:r>
      <w:r w:rsidR="008D32A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D32A1" w:rsidRPr="008D32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Положення про інклюзивно-ресурсний центр</w:t>
      </w:r>
      <w:r w:rsidR="008D32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», на виконання </w:t>
      </w:r>
      <w:proofErr w:type="spellStart"/>
      <w:r w:rsidR="008D32A1" w:rsidRPr="00B0437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Саламанської</w:t>
      </w:r>
      <w:proofErr w:type="spellEnd"/>
      <w:r w:rsidR="008D32A1" w:rsidRPr="00B043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декларації</w:t>
      </w:r>
      <w:r w:rsidR="008D32A1" w:rsidRPr="00B04374">
        <w:rPr>
          <w:rFonts w:ascii="Times New Roman" w:hAnsi="Times New Roman" w:cs="Times New Roman"/>
          <w:sz w:val="28"/>
          <w:szCs w:val="28"/>
          <w:lang w:val="uk-UA"/>
        </w:rPr>
        <w:t xml:space="preserve"> про принципи, політику та практичну діяльність у галузі освіти осіб з особливими освітніми потребами</w:t>
      </w:r>
      <w:r w:rsidR="00B04374">
        <w:rPr>
          <w:rFonts w:ascii="Times New Roman" w:hAnsi="Times New Roman" w:cs="Times New Roman"/>
          <w:sz w:val="28"/>
          <w:szCs w:val="28"/>
          <w:lang w:val="uk-UA"/>
        </w:rPr>
        <w:t xml:space="preserve">, з метою забезпечення потреб дітей з особливими освітніми потребами  на психолого-педагогічні та </w:t>
      </w:r>
      <w:proofErr w:type="spellStart"/>
      <w:r w:rsidR="00B04374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="00B04374">
        <w:rPr>
          <w:rFonts w:ascii="Times New Roman" w:hAnsi="Times New Roman" w:cs="Times New Roman"/>
          <w:sz w:val="28"/>
          <w:szCs w:val="28"/>
          <w:lang w:val="uk-UA"/>
        </w:rPr>
        <w:t xml:space="preserve"> послуги в інклюзивно-ресурсних центрах</w:t>
      </w:r>
      <w:r w:rsidR="00B144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18AD">
        <w:rPr>
          <w:rFonts w:ascii="Times New Roman" w:hAnsi="Times New Roman" w:cs="Times New Roman"/>
          <w:sz w:val="28"/>
          <w:szCs w:val="28"/>
          <w:lang w:val="uk-UA"/>
        </w:rPr>
        <w:t>селищна рада:</w:t>
      </w:r>
    </w:p>
    <w:p w:rsidR="00331CC0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B42A3" w:rsidRDefault="003B42A3" w:rsidP="004B18AD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до Кабінету Міністрів України щодо забезпечення потреб дітей з особливими освітніми потребами  на психолого-педагогічні та </w:t>
      </w:r>
      <w:proofErr w:type="spellStart"/>
      <w:r>
        <w:rPr>
          <w:sz w:val="28"/>
          <w:szCs w:val="28"/>
          <w:lang w:val="uk-UA"/>
        </w:rPr>
        <w:t>корекційно-розвиткові</w:t>
      </w:r>
      <w:proofErr w:type="spellEnd"/>
      <w:r>
        <w:rPr>
          <w:sz w:val="28"/>
          <w:szCs w:val="28"/>
          <w:lang w:val="uk-UA"/>
        </w:rPr>
        <w:t xml:space="preserve"> послуги в інклюзивно-ресурсних центрах, додається.</w:t>
      </w:r>
    </w:p>
    <w:p w:rsidR="00C30EB6" w:rsidRPr="00C30EB6" w:rsidRDefault="00C30EB6" w:rsidP="00C30EB6">
      <w:pPr>
        <w:pStyle w:val="a4"/>
        <w:ind w:left="851"/>
        <w:jc w:val="both"/>
        <w:rPr>
          <w:sz w:val="28"/>
          <w:szCs w:val="28"/>
          <w:lang w:val="uk-UA"/>
        </w:rPr>
      </w:pPr>
    </w:p>
    <w:p w:rsidR="00F71CAC" w:rsidRDefault="00432E50" w:rsidP="008F31D0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селищного голову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A66F7E" w:rsidRDefault="00A66F7E" w:rsidP="00A66F7E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602678" w:rsidRPr="00A66F7E" w:rsidRDefault="0060267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3416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759" w:rsidRDefault="001C0759" w:rsidP="001C0759">
      <w:pPr>
        <w:pStyle w:val="4"/>
      </w:pPr>
      <w:r>
        <w:rPr>
          <w:rFonts w:ascii="Times New Roman" w:hAnsi="Times New Roman"/>
          <w:b w:val="0"/>
        </w:rPr>
        <w:t>С</w:t>
      </w:r>
      <w:r w:rsidRPr="0096145C">
        <w:rPr>
          <w:rFonts w:ascii="Times New Roman" w:hAnsi="Times New Roman"/>
          <w:b w:val="0"/>
        </w:rPr>
        <w:t>елищний</w:t>
      </w:r>
      <w:r>
        <w:rPr>
          <w:rFonts w:ascii="Times New Roman" w:hAnsi="Times New Roman"/>
          <w:b w:val="0"/>
        </w:rPr>
        <w:t xml:space="preserve"> </w:t>
      </w:r>
      <w:r w:rsidRPr="0096145C">
        <w:rPr>
          <w:rFonts w:ascii="Times New Roman" w:hAnsi="Times New Roman"/>
          <w:b w:val="0"/>
        </w:rPr>
        <w:t xml:space="preserve"> голова               </w:t>
      </w:r>
      <w:r>
        <w:rPr>
          <w:rFonts w:ascii="Times New Roman" w:hAnsi="Times New Roman"/>
          <w:b w:val="0"/>
        </w:rPr>
        <w:t xml:space="preserve">                        </w:t>
      </w:r>
      <w:r w:rsidRPr="0096145C">
        <w:rPr>
          <w:rFonts w:ascii="Times New Roman" w:hAnsi="Times New Roman"/>
          <w:b w:val="0"/>
        </w:rPr>
        <w:t xml:space="preserve">       </w:t>
      </w:r>
      <w:r>
        <w:rPr>
          <w:rFonts w:ascii="Times New Roman" w:hAnsi="Times New Roman"/>
          <w:b w:val="0"/>
        </w:rPr>
        <w:t xml:space="preserve">           </w:t>
      </w:r>
      <w:r w:rsidRPr="0096145C"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ab/>
        <w:t xml:space="preserve">     А.П.</w:t>
      </w:r>
      <w:proofErr w:type="spellStart"/>
      <w:r>
        <w:rPr>
          <w:rFonts w:ascii="Times New Roman" w:hAnsi="Times New Roman"/>
          <w:b w:val="0"/>
        </w:rPr>
        <w:t>Проценко</w:t>
      </w:r>
      <w:proofErr w:type="spellEnd"/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C0759" w:rsidRDefault="001C0759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49C7" w:rsidRDefault="005249C7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49C7" w:rsidRDefault="005249C7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A0D" w:rsidRDefault="00313A0D" w:rsidP="00313A0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313A0D" w:rsidRDefault="00313A0D" w:rsidP="00313A0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селищної ради</w:t>
      </w:r>
    </w:p>
    <w:p w:rsidR="00313A0D" w:rsidRDefault="00313A0D" w:rsidP="00313A0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05.11.2021 р. </w:t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E0510">
        <w:rPr>
          <w:rFonts w:ascii="Times New Roman" w:hAnsi="Times New Roman" w:cs="Times New Roman"/>
          <w:sz w:val="28"/>
          <w:szCs w:val="28"/>
          <w:lang w:val="uk-UA"/>
        </w:rPr>
        <w:t>21-6</w:t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3A158C" w:rsidRPr="00313A0D" w:rsidRDefault="003A158C" w:rsidP="003A158C">
      <w:pPr>
        <w:rPr>
          <w:b/>
          <w:bCs/>
          <w:sz w:val="27"/>
          <w:szCs w:val="27"/>
          <w:lang w:val="uk-UA"/>
        </w:rPr>
      </w:pPr>
    </w:p>
    <w:p w:rsidR="003A158C" w:rsidRPr="00313A0D" w:rsidRDefault="003A158C" w:rsidP="00313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3A0D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</w:p>
    <w:p w:rsidR="003A158C" w:rsidRPr="00313A0D" w:rsidRDefault="00313A0D" w:rsidP="00313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Лисянської селищної</w:t>
      </w:r>
      <w:r w:rsidR="003A158C"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3A158C" w:rsidRPr="00313A0D" w:rsidRDefault="003A158C" w:rsidP="00313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до Кабінету Міністрів України </w:t>
      </w:r>
    </w:p>
    <w:p w:rsidR="003A158C" w:rsidRPr="00313A0D" w:rsidRDefault="003A158C" w:rsidP="00313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щодо забезпечення права дітей з особливими освітніми потребами  на психолого-педагогічні та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послуги в інклюзивно-ресурсних центрах</w:t>
      </w:r>
    </w:p>
    <w:p w:rsidR="003A158C" w:rsidRPr="00313A0D" w:rsidRDefault="003A158C" w:rsidP="00313A0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3A158C" w:rsidRPr="00313A0D" w:rsidRDefault="003A158C" w:rsidP="00313A0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13A0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Вже тривалий час інклюзивне навчання є невід’ємною частиною освітнього процесу країн Європейського Союзу. В Україні, починаючи з 2016 року, також почала впроваджуватись інклюзивна освіта. Впродовж 2016-2021 років кількість дітей</w:t>
      </w:r>
      <w:r w:rsidR="009E56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13A0D">
        <w:rPr>
          <w:rFonts w:ascii="Times New Roman" w:hAnsi="Times New Roman" w:cs="Times New Roman"/>
          <w:sz w:val="28"/>
          <w:szCs w:val="28"/>
          <w:lang w:val="uk-UA"/>
        </w:rPr>
        <w:t>охоплених</w:t>
      </w:r>
      <w:r w:rsidRPr="00313A0D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313A0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інклюзивним навчанням, збільшилась в чотири рази.</w:t>
      </w:r>
      <w:r w:rsidRPr="00313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13A0D">
        <w:rPr>
          <w:rFonts w:ascii="Times New Roman" w:hAnsi="Times New Roman" w:cs="Times New Roman"/>
          <w:sz w:val="28"/>
          <w:szCs w:val="28"/>
          <w:lang w:val="uk-UA"/>
        </w:rPr>
        <w:t>Ключову роль у</w:t>
      </w:r>
      <w:r w:rsidRPr="00313A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цьому процесі відіграло </w:t>
      </w:r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реформування </w:t>
      </w:r>
      <w:r w:rsidRPr="00313A0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2017 році</w:t>
      </w:r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застарілих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психолого-медико-педагогічних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 у сучасні Інклюзивно-ресурсні центри</w:t>
      </w:r>
      <w:r w:rsidRPr="00313A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(далі – </w:t>
      </w:r>
      <w:proofErr w:type="spellStart"/>
      <w:r w:rsidRPr="00313A0D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ІРЦ</w:t>
      </w:r>
      <w:proofErr w:type="spellEnd"/>
      <w:r w:rsidRPr="00313A0D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313A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58C" w:rsidRPr="00313A0D" w:rsidRDefault="003A158C" w:rsidP="00313A0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13A0D">
        <w:rPr>
          <w:color w:val="000000"/>
          <w:sz w:val="28"/>
          <w:szCs w:val="28"/>
          <w:lang w:val="uk-UA"/>
        </w:rPr>
        <w:t xml:space="preserve">З метою виконання вимог </w:t>
      </w:r>
      <w:proofErr w:type="spellStart"/>
      <w:r w:rsidRPr="00313A0D">
        <w:rPr>
          <w:color w:val="000000"/>
          <w:sz w:val="28"/>
          <w:szCs w:val="28"/>
          <w:lang w:val="uk-UA"/>
        </w:rPr>
        <w:t>Саламанської</w:t>
      </w:r>
      <w:proofErr w:type="spellEnd"/>
      <w:r w:rsidRPr="00313A0D">
        <w:rPr>
          <w:color w:val="000000"/>
          <w:sz w:val="28"/>
          <w:szCs w:val="28"/>
          <w:lang w:val="uk-UA"/>
        </w:rPr>
        <w:t xml:space="preserve"> декларації</w:t>
      </w:r>
      <w:r w:rsidRPr="00313A0D">
        <w:rPr>
          <w:sz w:val="28"/>
          <w:szCs w:val="28"/>
          <w:lang w:val="uk-UA"/>
        </w:rPr>
        <w:t xml:space="preserve"> про принципи, політику та практичну діяльність у галузі освіти осіб з особливими освітніми потребами (далі – </w:t>
      </w:r>
      <w:proofErr w:type="spellStart"/>
      <w:r w:rsidRPr="00313A0D">
        <w:rPr>
          <w:sz w:val="28"/>
          <w:szCs w:val="28"/>
          <w:lang w:val="uk-UA"/>
        </w:rPr>
        <w:t>Саламанська</w:t>
      </w:r>
      <w:proofErr w:type="spellEnd"/>
      <w:r w:rsidRPr="00313A0D">
        <w:rPr>
          <w:sz w:val="28"/>
          <w:szCs w:val="28"/>
          <w:lang w:val="uk-UA"/>
        </w:rPr>
        <w:t xml:space="preserve"> декларація), що стосується створення інклюзивно-орієнтованої системи освіти в звичайних школах і недискримінації дітей, було створено мережу </w:t>
      </w:r>
      <w:proofErr w:type="spellStart"/>
      <w:r w:rsidRPr="00313A0D">
        <w:rPr>
          <w:sz w:val="28"/>
          <w:szCs w:val="28"/>
          <w:lang w:val="uk-UA"/>
        </w:rPr>
        <w:t>ІРЦ</w:t>
      </w:r>
      <w:proofErr w:type="spellEnd"/>
      <w:r w:rsidRPr="00313A0D">
        <w:rPr>
          <w:sz w:val="28"/>
          <w:szCs w:val="28"/>
          <w:lang w:val="uk-UA"/>
        </w:rPr>
        <w:t xml:space="preserve">, основним завданням яких було надання психолого-педагогічних та </w:t>
      </w:r>
      <w:proofErr w:type="spellStart"/>
      <w:r w:rsidRPr="00313A0D">
        <w:rPr>
          <w:sz w:val="28"/>
          <w:szCs w:val="28"/>
          <w:lang w:val="uk-UA"/>
        </w:rPr>
        <w:t>корекційно-розвиткових</w:t>
      </w:r>
      <w:proofErr w:type="spellEnd"/>
      <w:r w:rsidRPr="00313A0D">
        <w:rPr>
          <w:sz w:val="28"/>
          <w:szCs w:val="28"/>
          <w:lang w:val="uk-UA"/>
        </w:rPr>
        <w:t xml:space="preserve"> послуг усім дітям з особливим освітніми потребами. </w:t>
      </w:r>
    </w:p>
    <w:p w:rsidR="003A158C" w:rsidRPr="00313A0D" w:rsidRDefault="003A158C" w:rsidP="00313A0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Проте, 21 липня 2021 року набрали чинності положення постанови Кабінету Міністрів України №765 «Про внесення змін до деяких постанов Кабінету Міністрів України щодо організації навчання осіб з особливими освітніми потребами» (далі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-постанова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), яким серед іншого було внесено зміни до Положення про інклюзивно-ресурсний центр, затвердженого постановою Кабінету Міністрів України від 12 липня 2017 року № 545 року  (далі - Положення) та  виключено  із завдань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надання психолого-педагогічні та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послуги для учнів інклюзивних шкіл та вихованців інклюзивних груп  дитячих садочків. </w:t>
      </w:r>
    </w:p>
    <w:p w:rsidR="003A158C" w:rsidRPr="00313A0D" w:rsidRDefault="003A158C" w:rsidP="00313A0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Водночас станом на 2021 рік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психолого-педагогічними та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корекційно-розвитковими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послугами майже 200 дітей з особливими освітніми потребами. Враховуючи недостатню кількість педагогічних працівників, зокрема дефектологів, логопедів, психологів,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реабілітологів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, реалізація зазначених змін призведе до позбавлення дітей, охоплених інклюзивним навчання, права на якісну кваліфіковану допомогу від працівників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,  та їх повернення на індивідуальну форму навчання. </w:t>
      </w:r>
    </w:p>
    <w:p w:rsidR="003A158C" w:rsidRPr="00313A0D" w:rsidRDefault="003A158C" w:rsidP="00313A0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Слід наголосити, що такий крок  не узгоджується з нормами статті 20 Закону України «Про освіту», де надання психолого-педагогічних та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невід’ємною частиною освітнього процесу та однією з цілей утворення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3A158C" w:rsidRPr="00313A0D" w:rsidRDefault="003A158C" w:rsidP="00313A0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A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головними  принципами створення діяльності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є перехід від медичної до соціальної моделі надання послуг. Зважаючи на такий підхід надання послуги,  працівник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не має права вимагати інформацію про стан здоров’я дитини, а тим більше орієнтуватись на її діагноз. Проте, змінами до  Положення, запровадженими вищезазначеною постановою, запроваджується право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запрошувати додаткову медичну діагностику, що може призвести до затягування термінів комплексної психолого-педагогічної оцінки дитини. </w:t>
      </w:r>
    </w:p>
    <w:p w:rsidR="003A158C" w:rsidRPr="00313A0D" w:rsidRDefault="003A158C" w:rsidP="00313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права дітей з особливими освітніми потребами на психолого-педагогічні та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послуги в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, а також враховуючи  положення Конвенції ООН про права осіб з інвалідністю, </w:t>
      </w:r>
      <w:proofErr w:type="spellStart"/>
      <w:r w:rsidRPr="00313A0D">
        <w:rPr>
          <w:rFonts w:ascii="Times New Roman" w:hAnsi="Times New Roman" w:cs="Times New Roman"/>
          <w:sz w:val="28"/>
          <w:szCs w:val="28"/>
          <w:lang w:val="uk-UA"/>
        </w:rPr>
        <w:t>Саламанської</w:t>
      </w:r>
      <w:proofErr w:type="spellEnd"/>
      <w:r w:rsidRPr="00313A0D">
        <w:rPr>
          <w:rFonts w:ascii="Times New Roman" w:hAnsi="Times New Roman" w:cs="Times New Roman"/>
          <w:sz w:val="28"/>
          <w:szCs w:val="28"/>
          <w:lang w:val="uk-UA"/>
        </w:rPr>
        <w:t xml:space="preserve"> декларації звертаємось з проханням внести відповідні зміни до Положення про інклюзивно-ресурсний центр, затвердженого постановою Кабінету Міністрів України від 12 липня 2017 року № 545 року  та зокрема:</w:t>
      </w:r>
    </w:p>
    <w:p w:rsidR="003A158C" w:rsidRPr="00313A0D" w:rsidRDefault="003A158C" w:rsidP="00313A0D">
      <w:pPr>
        <w:pStyle w:val="a4"/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13A0D">
        <w:rPr>
          <w:sz w:val="28"/>
          <w:szCs w:val="28"/>
          <w:lang w:val="uk-UA"/>
        </w:rPr>
        <w:t xml:space="preserve">передбачити серед переліку завдань </w:t>
      </w:r>
      <w:proofErr w:type="spellStart"/>
      <w:r w:rsidRPr="00313A0D">
        <w:rPr>
          <w:sz w:val="28"/>
          <w:szCs w:val="28"/>
          <w:lang w:val="uk-UA"/>
        </w:rPr>
        <w:t>ІРЦ</w:t>
      </w:r>
      <w:proofErr w:type="spellEnd"/>
      <w:r w:rsidRPr="00313A0D">
        <w:rPr>
          <w:sz w:val="28"/>
          <w:szCs w:val="28"/>
          <w:lang w:val="uk-UA"/>
        </w:rPr>
        <w:t xml:space="preserve"> надання психолого-педагогічних та </w:t>
      </w:r>
      <w:proofErr w:type="spellStart"/>
      <w:r w:rsidRPr="00313A0D">
        <w:rPr>
          <w:sz w:val="28"/>
          <w:szCs w:val="28"/>
          <w:lang w:val="uk-UA"/>
        </w:rPr>
        <w:t>корекційно-розвиткових</w:t>
      </w:r>
      <w:proofErr w:type="spellEnd"/>
      <w:r w:rsidRPr="00313A0D">
        <w:rPr>
          <w:sz w:val="28"/>
          <w:szCs w:val="28"/>
          <w:lang w:val="uk-UA"/>
        </w:rPr>
        <w:t xml:space="preserve"> послуг дітям з особливими освітніми потребами, які навчаються в інклюзивних класах (групах) у закладах дошкільної, загальної середньої, професійної (професійно-технічної) освіти та інших закладах освіти, які забезпечують здобуття загальної середньої освіти;</w:t>
      </w:r>
    </w:p>
    <w:p w:rsidR="003A158C" w:rsidRPr="00313A0D" w:rsidRDefault="003A158C" w:rsidP="00313A0D">
      <w:pPr>
        <w:pStyle w:val="a4"/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13A0D">
        <w:rPr>
          <w:sz w:val="28"/>
          <w:szCs w:val="28"/>
          <w:lang w:val="uk-UA"/>
        </w:rPr>
        <w:t xml:space="preserve">виключити право </w:t>
      </w:r>
      <w:proofErr w:type="spellStart"/>
      <w:r w:rsidRPr="00313A0D">
        <w:rPr>
          <w:sz w:val="28"/>
          <w:szCs w:val="28"/>
          <w:lang w:val="uk-UA"/>
        </w:rPr>
        <w:t>ІРЦ</w:t>
      </w:r>
      <w:proofErr w:type="spellEnd"/>
      <w:r w:rsidRPr="00313A0D">
        <w:rPr>
          <w:sz w:val="28"/>
          <w:szCs w:val="28"/>
          <w:lang w:val="uk-UA"/>
        </w:rPr>
        <w:t xml:space="preserve"> щодо проведення </w:t>
      </w:r>
      <w:r w:rsidRPr="00313A0D">
        <w:rPr>
          <w:rStyle w:val="2365"/>
          <w:bCs/>
          <w:color w:val="000000"/>
          <w:sz w:val="28"/>
          <w:szCs w:val="28"/>
          <w:lang w:val="uk-UA"/>
        </w:rPr>
        <w:t xml:space="preserve">додаткової медичної діагностики для комплексної психолого-педагогічної оцінки розвитку дитини. </w:t>
      </w:r>
    </w:p>
    <w:p w:rsidR="003A158C" w:rsidRDefault="003A158C" w:rsidP="003A158C"/>
    <w:p w:rsidR="00A66F7E" w:rsidRDefault="00A66F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3A0D" w:rsidRPr="00313A0D" w:rsidRDefault="00313A0D" w:rsidP="00313A0D">
      <w:pPr>
        <w:tabs>
          <w:tab w:val="left" w:pos="667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                                                  </w:t>
      </w:r>
      <w:r w:rsidR="001C07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75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C0759">
        <w:rPr>
          <w:rFonts w:ascii="Times New Roman" w:hAnsi="Times New Roman" w:cs="Times New Roman"/>
          <w:sz w:val="28"/>
          <w:szCs w:val="28"/>
          <w:lang w:val="uk-UA"/>
        </w:rPr>
        <w:t>.В. Макушенко</w:t>
      </w:r>
    </w:p>
    <w:sectPr w:rsidR="00313A0D" w:rsidRPr="00313A0D" w:rsidSect="00410E68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07C2"/>
    <w:multiLevelType w:val="hybridMultilevel"/>
    <w:tmpl w:val="AF224F10"/>
    <w:lvl w:ilvl="0" w:tplc="84A88DC2">
      <w:numFmt w:val="bullet"/>
      <w:lvlText w:val="-"/>
      <w:lvlJc w:val="left"/>
      <w:rPr>
        <w:rFonts w:ascii="Calibri" w:eastAsia="Calibri" w:hAnsi="Calibri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13BF6"/>
    <w:rsid w:val="000347F6"/>
    <w:rsid w:val="0004716D"/>
    <w:rsid w:val="00076419"/>
    <w:rsid w:val="00085EA3"/>
    <w:rsid w:val="00094470"/>
    <w:rsid w:val="000D5916"/>
    <w:rsid w:val="000F14E8"/>
    <w:rsid w:val="00104256"/>
    <w:rsid w:val="001121AB"/>
    <w:rsid w:val="001154EE"/>
    <w:rsid w:val="00175F7A"/>
    <w:rsid w:val="001A218D"/>
    <w:rsid w:val="001A5556"/>
    <w:rsid w:val="001C0759"/>
    <w:rsid w:val="001D494E"/>
    <w:rsid w:val="001F1F3E"/>
    <w:rsid w:val="0021642D"/>
    <w:rsid w:val="00216B0A"/>
    <w:rsid w:val="00241209"/>
    <w:rsid w:val="00244787"/>
    <w:rsid w:val="002470F0"/>
    <w:rsid w:val="00254B32"/>
    <w:rsid w:val="00263D2A"/>
    <w:rsid w:val="002754EB"/>
    <w:rsid w:val="002852B9"/>
    <w:rsid w:val="002A3100"/>
    <w:rsid w:val="002C2BAC"/>
    <w:rsid w:val="002C5490"/>
    <w:rsid w:val="002C5BC2"/>
    <w:rsid w:val="002E5CA7"/>
    <w:rsid w:val="00301A0E"/>
    <w:rsid w:val="00313A0D"/>
    <w:rsid w:val="00321A05"/>
    <w:rsid w:val="00331CC0"/>
    <w:rsid w:val="00341674"/>
    <w:rsid w:val="0036258C"/>
    <w:rsid w:val="003749CD"/>
    <w:rsid w:val="0038459A"/>
    <w:rsid w:val="00390B43"/>
    <w:rsid w:val="003A0930"/>
    <w:rsid w:val="003A1438"/>
    <w:rsid w:val="003A158C"/>
    <w:rsid w:val="003B42A3"/>
    <w:rsid w:val="003B47D6"/>
    <w:rsid w:val="003D3A09"/>
    <w:rsid w:val="003E13CA"/>
    <w:rsid w:val="003E48A9"/>
    <w:rsid w:val="003F78C6"/>
    <w:rsid w:val="00400D9E"/>
    <w:rsid w:val="00410E68"/>
    <w:rsid w:val="00426056"/>
    <w:rsid w:val="00432E50"/>
    <w:rsid w:val="00436266"/>
    <w:rsid w:val="00461069"/>
    <w:rsid w:val="0046774B"/>
    <w:rsid w:val="004A4A05"/>
    <w:rsid w:val="004A513B"/>
    <w:rsid w:val="004B18AD"/>
    <w:rsid w:val="004C60BE"/>
    <w:rsid w:val="004D3DC6"/>
    <w:rsid w:val="004F0A42"/>
    <w:rsid w:val="005011B0"/>
    <w:rsid w:val="0050449F"/>
    <w:rsid w:val="00510026"/>
    <w:rsid w:val="00513F7D"/>
    <w:rsid w:val="005249C7"/>
    <w:rsid w:val="00541515"/>
    <w:rsid w:val="00564E3E"/>
    <w:rsid w:val="00584C7A"/>
    <w:rsid w:val="005A7B98"/>
    <w:rsid w:val="005C4B1A"/>
    <w:rsid w:val="005D1A13"/>
    <w:rsid w:val="005D6C8A"/>
    <w:rsid w:val="005E153C"/>
    <w:rsid w:val="005F672C"/>
    <w:rsid w:val="00602678"/>
    <w:rsid w:val="00636823"/>
    <w:rsid w:val="00681BA8"/>
    <w:rsid w:val="006A6A13"/>
    <w:rsid w:val="006B63A0"/>
    <w:rsid w:val="006C07AA"/>
    <w:rsid w:val="006C0847"/>
    <w:rsid w:val="006E0650"/>
    <w:rsid w:val="006E1D3B"/>
    <w:rsid w:val="006E66E8"/>
    <w:rsid w:val="00713381"/>
    <w:rsid w:val="00717F1E"/>
    <w:rsid w:val="00727BA6"/>
    <w:rsid w:val="007475C4"/>
    <w:rsid w:val="007A315A"/>
    <w:rsid w:val="007B67B5"/>
    <w:rsid w:val="007B69FF"/>
    <w:rsid w:val="007F00E5"/>
    <w:rsid w:val="007F20E1"/>
    <w:rsid w:val="00801825"/>
    <w:rsid w:val="008143C6"/>
    <w:rsid w:val="0082177F"/>
    <w:rsid w:val="00845D9E"/>
    <w:rsid w:val="008636B0"/>
    <w:rsid w:val="008916F1"/>
    <w:rsid w:val="00891D41"/>
    <w:rsid w:val="00897139"/>
    <w:rsid w:val="008B1CFE"/>
    <w:rsid w:val="008C3341"/>
    <w:rsid w:val="008C4BDE"/>
    <w:rsid w:val="008C765D"/>
    <w:rsid w:val="008D32A1"/>
    <w:rsid w:val="008D45B0"/>
    <w:rsid w:val="008D5531"/>
    <w:rsid w:val="008E2251"/>
    <w:rsid w:val="008E358A"/>
    <w:rsid w:val="008E7D0C"/>
    <w:rsid w:val="008F31D0"/>
    <w:rsid w:val="008F5978"/>
    <w:rsid w:val="00906291"/>
    <w:rsid w:val="00922ADE"/>
    <w:rsid w:val="0094650E"/>
    <w:rsid w:val="00965323"/>
    <w:rsid w:val="00973163"/>
    <w:rsid w:val="00980347"/>
    <w:rsid w:val="009A0C78"/>
    <w:rsid w:val="009A5096"/>
    <w:rsid w:val="009A6788"/>
    <w:rsid w:val="009B4B0F"/>
    <w:rsid w:val="009D3528"/>
    <w:rsid w:val="009D7B6A"/>
    <w:rsid w:val="009E56E1"/>
    <w:rsid w:val="009E69A6"/>
    <w:rsid w:val="009E7583"/>
    <w:rsid w:val="009F4B9A"/>
    <w:rsid w:val="00A34023"/>
    <w:rsid w:val="00A55E64"/>
    <w:rsid w:val="00A66F7E"/>
    <w:rsid w:val="00A778FC"/>
    <w:rsid w:val="00A82C78"/>
    <w:rsid w:val="00A96AE2"/>
    <w:rsid w:val="00A97E7B"/>
    <w:rsid w:val="00AC615D"/>
    <w:rsid w:val="00AD7ABA"/>
    <w:rsid w:val="00B04374"/>
    <w:rsid w:val="00B14436"/>
    <w:rsid w:val="00B149AA"/>
    <w:rsid w:val="00B50D87"/>
    <w:rsid w:val="00B53F87"/>
    <w:rsid w:val="00B67733"/>
    <w:rsid w:val="00B73E27"/>
    <w:rsid w:val="00B750DD"/>
    <w:rsid w:val="00B82D27"/>
    <w:rsid w:val="00B853F8"/>
    <w:rsid w:val="00BA71CC"/>
    <w:rsid w:val="00BC4D26"/>
    <w:rsid w:val="00BD1660"/>
    <w:rsid w:val="00BE6A95"/>
    <w:rsid w:val="00BF56C4"/>
    <w:rsid w:val="00BF76F5"/>
    <w:rsid w:val="00C03E0E"/>
    <w:rsid w:val="00C22B14"/>
    <w:rsid w:val="00C30EB6"/>
    <w:rsid w:val="00C359F3"/>
    <w:rsid w:val="00C55AF1"/>
    <w:rsid w:val="00C722FF"/>
    <w:rsid w:val="00C8059D"/>
    <w:rsid w:val="00CA6EF8"/>
    <w:rsid w:val="00CE0510"/>
    <w:rsid w:val="00D23ABB"/>
    <w:rsid w:val="00D26E3C"/>
    <w:rsid w:val="00D35E11"/>
    <w:rsid w:val="00D458A4"/>
    <w:rsid w:val="00D52CDE"/>
    <w:rsid w:val="00D53772"/>
    <w:rsid w:val="00D65517"/>
    <w:rsid w:val="00D96692"/>
    <w:rsid w:val="00DA318D"/>
    <w:rsid w:val="00DA5DC7"/>
    <w:rsid w:val="00DA696D"/>
    <w:rsid w:val="00DB03D2"/>
    <w:rsid w:val="00DB4A3A"/>
    <w:rsid w:val="00DC61D6"/>
    <w:rsid w:val="00E00FD1"/>
    <w:rsid w:val="00E03CA4"/>
    <w:rsid w:val="00E249FA"/>
    <w:rsid w:val="00E4769D"/>
    <w:rsid w:val="00E542B0"/>
    <w:rsid w:val="00E76C00"/>
    <w:rsid w:val="00E83EA7"/>
    <w:rsid w:val="00E8430C"/>
    <w:rsid w:val="00EA6D54"/>
    <w:rsid w:val="00EC3814"/>
    <w:rsid w:val="00ED538B"/>
    <w:rsid w:val="00ED783F"/>
    <w:rsid w:val="00EE2509"/>
    <w:rsid w:val="00F00164"/>
    <w:rsid w:val="00F00D26"/>
    <w:rsid w:val="00F1524E"/>
    <w:rsid w:val="00F169DF"/>
    <w:rsid w:val="00F34DD9"/>
    <w:rsid w:val="00F44962"/>
    <w:rsid w:val="00F47938"/>
    <w:rsid w:val="00F63349"/>
    <w:rsid w:val="00F71CAC"/>
    <w:rsid w:val="00F92354"/>
    <w:rsid w:val="00FA0581"/>
    <w:rsid w:val="00FB1593"/>
    <w:rsid w:val="00FB388D"/>
    <w:rsid w:val="00FB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1C07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0"/>
    <w:next w:val="a0"/>
    <w:link w:val="40"/>
    <w:unhideWhenUsed/>
    <w:qFormat/>
    <w:rsid w:val="001C075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65">
    <w:name w:val="2365"/>
    <w:aliases w:val="baiaagaaboqcaaadjguaaawcbqaaaaaaaaaaaaaaaaaaaaaaaaaaaaaaaaaaaaaaaaaaaaaaaaaaaaaaaaaaaaaaaaaaaaaaaaaaaaaaaaaaaaaaaaaaaaaaaaaaaaaaaaaaaaaaaaaaaaaaaaaaaaaaaaaaaaaaaaaaaaaaaaaaaaaaaaaaaaaaaaaaaaaaaaaaaaaaaaaaaaaaaaaaaaaaaaaaaaaaaaaaaaaa"/>
    <w:basedOn w:val="a1"/>
    <w:rsid w:val="003A158C"/>
  </w:style>
  <w:style w:type="character" w:customStyle="1" w:styleId="10">
    <w:name w:val="Заголовок 1 Знак"/>
    <w:basedOn w:val="a1"/>
    <w:link w:val="1"/>
    <w:rsid w:val="001C0759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1"/>
    <w:link w:val="4"/>
    <w:rsid w:val="001C0759"/>
    <w:rPr>
      <w:rFonts w:ascii="Calibri" w:eastAsia="Times New Roman" w:hAnsi="Calibri" w:cs="Times New Roman"/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 Windows</cp:lastModifiedBy>
  <cp:revision>48</cp:revision>
  <cp:lastPrinted>2021-02-10T10:56:00Z</cp:lastPrinted>
  <dcterms:created xsi:type="dcterms:W3CDTF">2021-02-08T06:43:00Z</dcterms:created>
  <dcterms:modified xsi:type="dcterms:W3CDTF">2021-11-08T10:53:00Z</dcterms:modified>
</cp:coreProperties>
</file>